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u w:val="single"/>
          <w:rtl w:val="0"/>
        </w:rPr>
        <w:t xml:space="preserve">Treasurer’s Report for October 2023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For the month of October, we experienced a trivial deficit of close to $500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month had larger expenses, including a quarterly property insurance charge as well as a charge for the website. The giving for this month was the 4th highest so far this year.</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At the end of October there was over $34,000 in the church checking account. This does not include the deductions for St. Martin’s and San Miguel’s which were issued in November. Even after the expected transfers the total is expected to be higher than $20,000</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u w:val="single"/>
        </w:rPr>
      </w:pPr>
      <w:r w:rsidDel="00000000" w:rsidR="00000000" w:rsidRPr="00000000">
        <w:rPr>
          <w:u w:val="single"/>
          <w:rtl w:val="0"/>
        </w:rPr>
        <w:t xml:space="preserve">Investments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Investment value decreased with the markets. With similar losses as last month: roughly $14,000 and no withdrawals, the total investments value decreased from $495,000 to $481,000</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u w:val="single"/>
        </w:rPr>
      </w:pPr>
      <w:r w:rsidDel="00000000" w:rsidR="00000000" w:rsidRPr="00000000">
        <w:rPr>
          <w:u w:val="single"/>
          <w:rtl w:val="0"/>
        </w:rPr>
        <w:t xml:space="preserve">Conclusion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Overall, October was a good month, with a small deficit despite increased expenses.</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