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Treasurer’s Report for February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the month of February, we had another deficit of roughly $6,000.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month had slightly below average expenses. One of the largest expenses was the Rector’s HSA payment, which is an annual expense.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Giving was slightly lower than expected, with pledge income being the main reason. There were several additional pledges paid in full for the year which have been classified as prepaid pledges, and will be accrued over the course of the year.</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At the end of February there was over $27,000 in the church checking account, after accounting for pending transactions.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Investments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Investment value rose solidly. With gains of roughly $12,000, the total investments value increased from $537,000 to $549,000.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Payroll Correction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was a payroll correction made for the Rector in March of 2024. This was due to an overpayment in 2023, and will result in the expense being less than budgeted in 2024 by roughly $2,000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Conclusion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February was a mixed month, but overall within the expected variance.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